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 A"/>
        <w:spacing w:line="331" w:lineRule="auto"/>
      </w:pPr>
      <w:r>
        <w:rPr>
          <w:rtl w:val="0"/>
          <w:lang w:val="it-IT"/>
        </w:rPr>
        <w:t xml:space="preserve">Bonjour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[pr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é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nom]</w:t>
      </w:r>
      <w:r>
        <w:rPr>
          <w:rtl w:val="0"/>
        </w:rPr>
        <w:t>,</w:t>
      </w:r>
    </w:p>
    <w:p>
      <w:pPr>
        <w:pStyle w:val="Body A"/>
        <w:spacing w:line="331" w:lineRule="auto"/>
      </w:pPr>
    </w:p>
    <w:p>
      <w:pPr>
        <w:pStyle w:val="Body A"/>
        <w:spacing w:line="331" w:lineRule="auto"/>
      </w:pPr>
      <w:r>
        <w:rPr>
          <w:rtl w:val="0"/>
          <w:lang w:val="en-US"/>
        </w:rPr>
        <w:t>Nous nous sommes associ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s 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la soci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 xml:space="preserve">de formation 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 xml:space="preserve">la sensibilisation 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la s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curit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usecure pour d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ployer un nouveau bouton de signalement des e-mails de phishing chez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[nom.de.l'entreprise]</w:t>
      </w:r>
      <w:r>
        <w:rPr>
          <w:rtl w:val="0"/>
        </w:rPr>
        <w:t>.</w:t>
      </w:r>
    </w:p>
    <w:p>
      <w:pPr>
        <w:pStyle w:val="Body A"/>
        <w:spacing w:line="331" w:lineRule="auto"/>
      </w:pPr>
    </w:p>
    <w:p>
      <w:pPr>
        <w:pStyle w:val="Body A"/>
        <w:spacing w:line="331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À </w:t>
      </w:r>
      <w:r>
        <w:rPr>
          <w:sz w:val="26"/>
          <w:szCs w:val="26"/>
          <w:rtl w:val="0"/>
          <w:lang w:val="en-US"/>
        </w:rPr>
        <w:t>quoi sert ce bouton ?</w:t>
      </w:r>
    </w:p>
    <w:p>
      <w:pPr>
        <w:pStyle w:val="Body A"/>
        <w:spacing w:line="331" w:lineRule="auto"/>
        <w:rPr>
          <w:lang w:val="en-US"/>
        </w:rPr>
      </w:pPr>
      <w:r>
        <w:rPr>
          <w:rtl w:val="0"/>
          <w:lang w:val="en-US"/>
        </w:rPr>
        <w:t>En tant qu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utilisateur du 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seau de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[nom.de.l'entreprise]</w:t>
      </w:r>
      <w:r>
        <w:rPr>
          <w:rtl w:val="0"/>
          <w:lang w:val="en-US"/>
        </w:rPr>
        <w:t xml:space="preserve">, vous pouvez 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tre une cible potentielle de cyberattaques, notamment de phishing et de ransomwares. Il est important de signaler rapidement toute tentative de phishing afin que l</w:t>
      </w:r>
      <w:r>
        <w:rPr>
          <w:rtl w:val="0"/>
          <w:lang w:val="en-US"/>
        </w:rPr>
        <w:t>’é</w:t>
      </w:r>
      <w:r>
        <w:rPr>
          <w:rtl w:val="0"/>
          <w:lang w:val="en-US"/>
        </w:rPr>
        <w:t>quipe informatique puisse prot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ger le 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seau, les donn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es et les appareils de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[nom.de.l'entreprise]</w:t>
      </w:r>
      <w:r>
        <w:rPr>
          <w:rtl w:val="0"/>
          <w:lang w:val="en-US"/>
        </w:rPr>
        <w:t>.</w:t>
      </w:r>
    </w:p>
    <w:p>
      <w:pPr>
        <w:pStyle w:val="Body A"/>
        <w:spacing w:line="331" w:lineRule="auto"/>
      </w:pPr>
    </w:p>
    <w:p>
      <w:pPr>
        <w:pStyle w:val="Body A"/>
        <w:spacing w:line="331" w:lineRule="auto"/>
      </w:pPr>
    </w:p>
    <w:p>
      <w:pPr>
        <w:pStyle w:val="Body A"/>
        <w:spacing w:line="331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Comment utiliser cet outil ?</w:t>
      </w:r>
    </w:p>
    <w:p>
      <w:pPr>
        <w:pStyle w:val="Body A"/>
        <w:spacing w:line="331" w:lineRule="auto"/>
        <w:rPr>
          <w:lang w:val="en-US"/>
        </w:rPr>
      </w:pPr>
      <w:r>
        <w:rPr>
          <w:rtl w:val="0"/>
          <w:lang w:val="en-US"/>
        </w:rPr>
        <w:t>Le bouton 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alerte de phishing est accessible dans votre bo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te mail Outlook, que ce soit sur le web, sur le client de bureau ou sur votre appareil mobile. Pour signaler un e-mail suspect, cliquez simplement sur ce bouton et confirmez que vous souhaitez le signaler comme phishing.</w:t>
      </w:r>
    </w:p>
    <w:p>
      <w:pPr>
        <w:pStyle w:val="Body A"/>
        <w:spacing w:line="331" w:lineRule="auto"/>
      </w:pPr>
    </w:p>
    <w:p>
      <w:pPr>
        <w:pStyle w:val="Body A"/>
        <w:spacing w:line="331" w:lineRule="auto"/>
      </w:pPr>
    </w:p>
    <w:p>
      <w:pPr>
        <w:pStyle w:val="Body A"/>
        <w:spacing w:line="331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Outlook Desktop</w:t>
      </w:r>
    </w:p>
    <w:p>
      <w:pPr>
        <w:pStyle w:val="Body A"/>
        <w:spacing w:line="331" w:lineRule="auto"/>
        <w:rPr>
          <w:lang w:val="en-US"/>
        </w:rPr>
      </w:pP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908050</wp:posOffset>
            </wp:positionH>
            <wp:positionV relativeFrom="line">
              <wp:posOffset>208451</wp:posOffset>
            </wp:positionV>
            <wp:extent cx="5727700" cy="591921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36"/>
                <wp:lineTo x="0" y="21636"/>
                <wp:lineTo x="0" y="0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919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>Sur Outlook Desktop, le bouton 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alerte de phishing se trouve dans le ruban sup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rieur.</w:t>
      </w:r>
      <w:r>
        <w:rPr>
          <w:rtl w:val="0"/>
          <w:lang w:val="en-US"/>
        </w:rPr>
        <w:t xml:space="preserve"> </w:t>
      </w:r>
    </w:p>
    <w:p>
      <w:pPr>
        <w:pStyle w:val="Body A"/>
        <w:spacing w:line="331" w:lineRule="auto"/>
        <w:rPr>
          <w:lang w:val="en-US"/>
        </w:rPr>
      </w:pPr>
      <w:r>
        <w:rPr>
          <w:rtl w:val="0"/>
          <w:lang w:val="en-US"/>
        </w:rPr>
        <w:t>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il 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appara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t pas, cliquez sur Toutes les applications puis s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lectionnez le bouton 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alerte de phishing dans la liste qui 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affiche.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1a1a1a"/>
          <w:sz w:val="32"/>
          <w:szCs w:val="3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1a1a1a"/>
          <w:sz w:val="32"/>
          <w:szCs w:val="3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165fc6"/>
          <w:sz w:val="32"/>
          <w:szCs w:val="32"/>
          <w:u w:color="165fc6"/>
          <w:shd w:val="clear" w:color="auto" w:fill="ffffff"/>
          <w14:textFill>
            <w14:solidFill>
              <w14:srgbClr w14:val="165FC6"/>
            </w14:solidFill>
          </w14:textFill>
        </w:rPr>
        <w:drawing xmlns:a="http://schemas.openxmlformats.org/drawingml/2006/main">
          <wp:inline distT="0" distB="0" distL="0" distR="0">
            <wp:extent cx="5727573" cy="681732"/>
            <wp:effectExtent l="0" t="0" r="0" b="0"/>
            <wp:docPr id="1073741826" name="officeArt object" descr="Screenshot+2024-08-09+at+14_39_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shot+2024-08-09+at+14_39_12.png" descr="Screenshot+2024-08-09+at+14_39_1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6817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1a1a1a"/>
          <w:sz w:val="32"/>
          <w:szCs w:val="3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1a1a1a"/>
          <w:sz w:val="32"/>
          <w:szCs w:val="3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</w:p>
    <w:p>
      <w:pPr>
        <w:pStyle w:val="Body A"/>
        <w:spacing w:line="331" w:lineRule="auto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Outlook Web et Nouveau Outlook</w:t>
      </w:r>
    </w:p>
    <w:p>
      <w:pPr>
        <w:pStyle w:val="Body A"/>
        <w:rPr>
          <w:rFonts w:ascii="Helvetica" w:cs="Helvetica" w:hAnsi="Helvetica" w:eastAsia="Helvetica"/>
          <w:outline w:val="0"/>
          <w:color w:val="1a1a1a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tl w:val="0"/>
          <w:lang w:val="en-US"/>
        </w:rPr>
        <w:t>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ic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ne du bouton 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alerte de phishing appara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t dans le menu 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actions de chaque message.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1a1a1a"/>
          <w:sz w:val="32"/>
          <w:szCs w:val="3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165fc6"/>
          <w:sz w:val="32"/>
          <w:szCs w:val="32"/>
          <w:u w:color="165fc6"/>
          <w:shd w:val="clear" w:color="auto" w:fill="ffffff"/>
          <w14:textFill>
            <w14:solidFill>
              <w14:srgbClr w14:val="165FC6"/>
            </w14:solidFill>
          </w14:textFill>
        </w:rPr>
        <w:drawing xmlns:a="http://schemas.openxmlformats.org/drawingml/2006/main">
          <wp:inline distT="0" distB="0" distL="0" distR="0">
            <wp:extent cx="5727573" cy="1312358"/>
            <wp:effectExtent l="0" t="0" r="0" b="0"/>
            <wp:docPr id="1073741827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 descr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13123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1a1a1a"/>
          <w:sz w:val="32"/>
          <w:szCs w:val="3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</w:p>
    <w:p>
      <w:pPr>
        <w:pStyle w:val="Body A"/>
      </w:pPr>
      <w:r>
        <w:rPr>
          <w:rtl w:val="0"/>
          <w:lang w:val="en-US"/>
        </w:rPr>
        <w:t>Si le bouton 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appara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t pas, cliquez sur 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ic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ne Applications dans le menu 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actions, puis s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lectionnez-le dans la liste d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roulante.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1a1a1a"/>
          <w:sz w:val="32"/>
          <w:szCs w:val="3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1a1a1a"/>
          <w:sz w:val="32"/>
          <w:szCs w:val="3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165fc6"/>
          <w:sz w:val="32"/>
          <w:szCs w:val="32"/>
          <w:u w:color="165fc6"/>
          <w:shd w:val="clear" w:color="auto" w:fill="ffffff"/>
          <w14:textFill>
            <w14:solidFill>
              <w14:srgbClr w14:val="165FC6"/>
            </w14:solidFill>
          </w14:textFill>
        </w:rPr>
        <w:drawing xmlns:a="http://schemas.openxmlformats.org/drawingml/2006/main">
          <wp:inline distT="0" distB="0" distL="0" distR="0">
            <wp:extent cx="5727573" cy="1798313"/>
            <wp:effectExtent l="0" t="0" r="0" b="0"/>
            <wp:docPr id="1073741828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.png" descr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17983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165fc6"/>
          <w:sz w:val="32"/>
          <w:szCs w:val="32"/>
          <w:u w:color="165fc6"/>
          <w14:textFill>
            <w14:solidFill>
              <w14:srgbClr w14:val="165FC6"/>
            </w14:solidFill>
          </w14:textFill>
        </w:rPr>
      </w:pPr>
    </w:p>
    <w:p>
      <w:pPr>
        <w:pStyle w:val="Body A"/>
        <w:spacing w:before="240" w:after="240" w:line="331" w:lineRule="auto"/>
      </w:pPr>
      <w:r>
        <w:rPr>
          <w:b w:val="1"/>
          <w:bCs w:val="1"/>
          <w:rtl w:val="0"/>
          <w:lang w:val="fr-FR"/>
        </w:rPr>
        <w:t>Android</w:t>
      </w:r>
      <w:r>
        <w:rPr>
          <w:b w:val="1"/>
          <w:bCs w:val="1"/>
          <w:lang w:val="fr-FR"/>
        </w:rPr>
        <w:br w:type="textWrapping"/>
      </w:r>
      <w:r>
        <w:rPr>
          <w:rtl w:val="0"/>
          <w:lang w:val="en-US"/>
        </w:rPr>
        <w:t xml:space="preserve">Tapez sur les trois points en haut 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droite, au-dessus du corps de 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e-mail. Un menu d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roulant appara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tra, avec 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ic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ne du bouton 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alerte de phishing en bas.</w:t>
      </w:r>
    </w:p>
    <w:p>
      <w:pPr>
        <w:pStyle w:val="Body A"/>
        <w:spacing w:line="331" w:lineRule="auto"/>
      </w:pPr>
      <w:r>
        <w:drawing xmlns:a="http://schemas.openxmlformats.org/drawingml/2006/main">
          <wp:inline distT="0" distB="0" distL="0" distR="0">
            <wp:extent cx="2472885" cy="2542717"/>
            <wp:effectExtent l="0" t="0" r="0" b="0"/>
            <wp:docPr id="1073741829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3.png" descr="image3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885" cy="25427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spacing w:line="331" w:lineRule="auto"/>
      </w:pPr>
    </w:p>
    <w:p>
      <w:pPr>
        <w:pStyle w:val="Body A"/>
        <w:spacing w:line="331" w:lineRule="auto"/>
      </w:pPr>
      <w:r>
        <w:rPr>
          <w:rtl w:val="0"/>
          <w:lang w:val="en-US"/>
        </w:rPr>
        <w:t>Si vous avez des questions, 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sitez pas 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 xml:space="preserve">contacter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[adresse.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é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lectronique]</w:t>
      </w:r>
      <w:r>
        <w:rPr>
          <w:rtl w:val="0"/>
        </w:rPr>
        <w:t>.</w:t>
      </w:r>
    </w:p>
    <w:p>
      <w:pPr>
        <w:pStyle w:val="Body A"/>
        <w:spacing w:line="331" w:lineRule="auto"/>
      </w:pPr>
    </w:p>
    <w:p>
      <w:pPr>
        <w:pStyle w:val="Body A"/>
        <w:spacing w:line="331" w:lineRule="auto"/>
      </w:pPr>
      <w:r>
        <w:rPr>
          <w:rtl w:val="0"/>
          <w:lang w:val="en-US"/>
        </w:rPr>
        <w:t>Merci,</w:t>
      </w:r>
    </w:p>
    <w:p>
      <w:pPr>
        <w:pStyle w:val="Body A"/>
        <w:spacing w:line="331" w:lineRule="auto"/>
      </w:pP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Votre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é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quipe informatique</w:t>
      </w:r>
    </w:p>
    <w:sectPr>
      <w:headerReference w:type="default" r:id="rId9"/>
      <w:footerReference w:type="default" r:id="rId10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